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"page=1" \o "Страница 1"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"page=2" \o "Страница 2"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"page=3" \o "Страница 3"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"page=4" \o "Страница 4"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"page=5" \o "Страница 5"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"page=6" \o "Страница 6"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"page=7" \o "Страница 7"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"page=8" \o "Страница 8"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"page=9" \o "Страница 9"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"page=10" \o "Страница 10"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"page=11" \o "Страница 11"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"page=12" \o "Страница 12"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"page=13" \o "Страница 13"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"page=14" \o "Страница 14"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"page=15" \o "Страница 15"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"page=16" \o "Страница 16"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"page=17" \o "Страница 17"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"page=18" \o "Страница 18"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"page=19" \o "Страница 19"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"page=20" \o "Страница 20"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"page=21" \o "Страница 21"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"page=22" \o "Страница 22"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"page=23" \o "Страница 23"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"page=24" \o "Страница 24"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"https://gorodgudvin.ru/upload/iblock/d85/feder-uroven-1.pdf" \l "page=25" \o "Страница 25" </w:instrText>
      </w: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2)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Трансформируемость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детей;3)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Полифункциональность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материалов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предполагает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:в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озможность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разнообразного использования различных составляющих предметной среды, например, детской мебели, матов, мягких модулей, ширм и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т.д.;наличие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игре).4) Вариативность среды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предполагает:наличие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детей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;п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ериодическую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сменяемость игрового материала, появление новых предметов, стимулирующих игровую, двигательную, познавательную и исследовательскую 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активность детей.5) Доступность среды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предполагает:доступность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для воспитанников, в том числе детей с ограниченными возможностями здоровья и детей-инвалидов, всех помещений, где осуществляется образовательная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деятельность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;с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вободный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активности;исправность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и сохранность материалов и оборудования.6)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Программы.3.4. Требования к кадровым условиям реализации Программы.</w:t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3) отражать структуру и объем расходов, необходимых для реализации Программы, а также механизм их формирования.3.6.3.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-с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сурдоперевод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при реализации образовательных программ, адаптация образовательных учреждений и прилегающих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медицинские, социальные и иные услуги, обеспечивающие адаптивную среду образования и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безбарьерную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, форм обучения и иных особенностей образовательной деятельности, и должен быть достаточным и необходимым для осуществления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Организацией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:р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асходов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на оплату труда работников, реализующих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Программу;расходов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аудио-и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-ч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Интернет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;р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асходов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иных расходов, связанных с реализацией и обеспечением реализации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Программы.IV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.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Требованияк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результатам освоения 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lastRenderedPageBreak/>
        <w:t>основной образовательной программы дошкольного образования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4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.1.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ориентиров.4.2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AF6365">
        <w:rPr>
          <w:rFonts w:ascii="Arial" w:eastAsia="Times New Roman" w:hAnsi="Arial" w:cs="Arial"/>
          <w:sz w:val="21"/>
          <w:szCs w:val="21"/>
          <w:lang w:eastAsia="ru-RU"/>
        </w:rPr>
        <w:t>7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AF6365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.4.4. Настоящие требования являются ориентирами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для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:а</w:t>
      </w:r>
      <w:proofErr w:type="spellEnd"/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Федерации;б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) решения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задач:формирования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Программы;анализа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профессиональной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деятельности;взаимодействия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с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семьями;в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) изучения характеристик образования детей в возрасте от 2 месяцев до 8 лет;</w:t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г) информирования родителей (законных представителей) и общественности относительно целей дошкольного 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образования, общих для всего образовательного пространства Российской Федерации.4.5. Целевые ориентиры не могут служить непосредственным основанием при решении управленческих задач,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включая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:а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ттестацию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педагогических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кадров;оценку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качества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образования;оценку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детей);оценку выполнения муниципального (государственного) задания посредством их включения в показатели качества выполнения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задания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;р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аспределение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стимулирующего фонда оплаты труда работников Организации.4.6. К целевым ориентирам дошкольного образования относятся следующие социально-нормативные возрастные характеристики возможных достижений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ребенка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:Ц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елевые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ориентиры образования в младенческом и раннем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возрасте:ребенок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действий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;и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спользует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поведении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;в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ладеет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активной речью,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включеннойв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общение; может обращаться с вопросами и просьбами, понимает речь взрослых; знает названия окружающих предметов и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игрушек;стремится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к общению со взрослыми и активно подражает им в движениях и действиях; появляются игры, в которых ребенок воспроизводит действия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взрослого;проявляет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интерес к сверстникам; наблюдает за их действиями и подражает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им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;п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роявляет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65">
        <w:rPr>
          <w:rFonts w:ascii="Arial" w:eastAsia="Times New Roman" w:hAnsi="Arial" w:cs="Arial"/>
          <w:sz w:val="31"/>
          <w:szCs w:val="3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.Ц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елевые ориентиры на этапе завершения дошкольного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образования:ребенок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овладевает основными культурными 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способами деятельности, проявляет инициативу и самостоятельность в разных видах деятельности -игре, общении, познавательно-исследовательской деятельности, конструировании и др.; способен выбирать себе род занятий, участников по совместной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деятельности;ребенок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конфликты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;р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ебенок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нормам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;р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ебенок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достаточно хорошо владеет устной речью, может выражать свои мысли и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желания,может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грамотности;у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ими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;р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ебенок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гигиены;ребенок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склонен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</w:t>
      </w:r>
      <w:proofErr w:type="spell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природы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,е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стествознания</w:t>
      </w:r>
      <w:proofErr w:type="spell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, математики, истории и т.п.; ребенок способен к принятию собственных решений, опираясь на свои знания и умения в различных видах 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деятельности.4.7.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</w:t>
      </w:r>
    </w:p>
    <w:p w:rsidR="00AF6365" w:rsidRPr="00AF6365" w:rsidRDefault="00AF6365" w:rsidP="00AF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детей дошкольного возраста предпосылок к учебной деятельности на этапе завершения ими дошкольного образования.4.8.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-к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ак создающие предпосылки для их реализации.</w:t>
      </w:r>
      <w:r w:rsidRPr="00AF6365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t>Российская газета, 25 декабря 1993 г.; Собрание законодательства Российской Федерации, 2009, N 1, ст. 1, ст. 2.</w:t>
      </w:r>
      <w:r w:rsidRPr="00AF6365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t>Сборник международных договоров СССР, 1993, выпуск XLVI.</w:t>
      </w:r>
      <w:r w:rsidRPr="00AF6365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2013, N 19, ст. 2326).</w:t>
      </w:r>
      <w:r w:rsidRPr="00AF6365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t>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AF6365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t>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2013, N 19, ст. 2326).</w:t>
      </w:r>
      <w:r w:rsidRPr="00AF6365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t>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 N51, ст.6163; 2013, N 14, ст. 1666; N 27, ст. 3477).</w:t>
      </w:r>
      <w:r w:rsidRPr="00AF6365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t xml:space="preserve">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AF6365">
        <w:rPr>
          <w:rFonts w:ascii="Arial" w:eastAsia="Times New Roman" w:hAnsi="Arial" w:cs="Arial"/>
          <w:sz w:val="31"/>
          <w:szCs w:val="31"/>
          <w:lang w:eastAsia="ru-RU"/>
        </w:rPr>
        <w:t>2013, N 19, ст. 2326).</w:t>
      </w:r>
      <w:r w:rsidRPr="00AF6365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AF6365">
        <w:rPr>
          <w:rFonts w:ascii="Arial" w:eastAsia="Times New Roman" w:hAnsi="Arial" w:cs="Arial"/>
          <w:sz w:val="31"/>
          <w:szCs w:val="31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proofErr w:type="gramEnd"/>
      <w:r w:rsidRPr="00AF6365">
        <w:rPr>
          <w:rFonts w:ascii="Arial" w:eastAsia="Times New Roman" w:hAnsi="Arial" w:cs="Arial"/>
          <w:sz w:val="31"/>
          <w:szCs w:val="31"/>
          <w:lang w:eastAsia="ru-RU"/>
        </w:rPr>
        <w:t>.</w:t>
      </w:r>
      <w:r w:rsidRPr="00AF6365">
        <w:rPr>
          <w:rFonts w:ascii="Arial" w:eastAsia="Times New Roman" w:hAnsi="Arial" w:cs="Arial"/>
          <w:sz w:val="26"/>
          <w:szCs w:val="26"/>
          <w:lang w:eastAsia="ru-RU"/>
        </w:rPr>
        <w:t>Материал опубликован по адресу: http://www.rg.ru/2013/11/25/doshk-standart-dok.html</w:t>
      </w:r>
    </w:p>
    <w:p w:rsidR="008334FC" w:rsidRDefault="00AF6365"/>
    <w:sectPr w:rsidR="008334FC" w:rsidSect="0057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6365"/>
    <w:rsid w:val="002A4EF6"/>
    <w:rsid w:val="005737A8"/>
    <w:rsid w:val="007C0DB9"/>
    <w:rsid w:val="00A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10062019</dc:creator>
  <cp:lastModifiedBy>10062019</cp:lastModifiedBy>
  <cp:revision>2</cp:revision>
  <dcterms:created xsi:type="dcterms:W3CDTF">2021-07-12T12:11:00Z</dcterms:created>
  <dcterms:modified xsi:type="dcterms:W3CDTF">2021-07-12T12:13:00Z</dcterms:modified>
</cp:coreProperties>
</file>